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Ind w:w="-567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845CA8" w:rsidRPr="00295DC4" w:rsidTr="00E537EF">
        <w:tc>
          <w:tcPr>
            <w:tcW w:w="4927" w:type="dxa"/>
          </w:tcPr>
          <w:p w:rsidR="00845CA8" w:rsidRPr="00295DC4" w:rsidRDefault="00845CA8" w:rsidP="003A1CDB">
            <w:pPr>
              <w:tabs>
                <w:tab w:val="left" w:pos="3225"/>
              </w:tabs>
              <w:jc w:val="center"/>
              <w:rPr>
                <w:rFonts w:ascii="GillSans Light" w:hAnsi="GillSans Light" w:cs="Arial"/>
                <w:b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b/>
                <w:sz w:val="22"/>
                <w:szCs w:val="22"/>
                <w:lang w:val="eu-ES" w:eastAsia="en-US"/>
              </w:rPr>
              <w:t>ERANSKINA</w:t>
            </w:r>
          </w:p>
          <w:p w:rsidR="00845CA8" w:rsidRPr="00295DC4" w:rsidRDefault="00845CA8" w:rsidP="003A1CDB">
            <w:pPr>
              <w:tabs>
                <w:tab w:val="left" w:pos="3225"/>
              </w:tabs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b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b/>
                <w:sz w:val="22"/>
                <w:szCs w:val="22"/>
                <w:lang w:val="eu-ES" w:eastAsia="en-US"/>
              </w:rPr>
              <w:t>PANTEOIEN GAINEKO EHORZKETA-ESKUBIDEAREN EMAKIDARI BURUZKO ESLEIPEN PROZESUAN PARTE HARTZEKO ESKAERA EREDUA.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Nik, ....................................................jaunak-andreak (eskatzaile bakar baten izena jarri. Senar-emazteen kasuan, ezkontza egiaztatu egin beharko da), .......................(e)ko .......................................................... (e)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an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bizi naizen (...................... Posta Kodea), ........................ urte, ........................................... NAN zenbakia, ................................. telefono zenbakia eta .................................................... posta elektronikoa ditudan honek, ondorengoa aditzera ematen dut: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1.-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Olaso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Hilerriko ondorengo panteoiaren gaineko Ehorzketa-eskubidea emateko egingo den esleipen prozesuan parte hartzeko eskaera egiten du</w:t>
            </w:r>
            <w:r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da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la:</w:t>
            </w: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…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zenbakidun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panteoia (adierazi zein aukeratu den).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b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2.- Arestian aukeratutako Panteoiaren esleipendun gertatzen ez ba</w:t>
            </w:r>
            <w:r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naiz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,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Olaso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hilerriko ondorengo panteoien gaineko ehorzketa-eskubidea emateko egingo den esleipen prozesuan parte hartzeko eskaera egiten du</w:t>
            </w:r>
            <w:r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da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la, ondorengo hurrenkeraren arabera:</w:t>
            </w:r>
          </w:p>
          <w:p w:rsidR="00845CA8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1.- …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zenbakidun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panteoia.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2.- …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zenbakidun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panteoia.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3.- …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zenbakidun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panteoia.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4.- …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zenbakidun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panteoia.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5.- …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zenbakidun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panteoia.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6.- …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zenbakidun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panteoia.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3.- Ez </w:t>
            </w:r>
            <w:r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n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agoela sartuta kontratatzeko debeku batean ere, Sektore Publikoko Kontratuei buruzko 71. artikuluan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zehaztutakoari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jarraikiz.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4.- Elgoibarko Udalarekiko zergen eta zehapenen ordainketak egunean ditu</w:t>
            </w:r>
            <w:r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da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la, baita Gipuzkoako Foru Aldundiarekiko eta Gizarte Segurantzarekiko gainerako betebeharrak ere.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5.- 300 euroko behin-behineko bermea jarri izana egiaztatzen duen agiria eransten du</w:t>
            </w:r>
            <w:r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da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la.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6.-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Olaso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 xml:space="preserve"> Hilerriko Panteoien gaineko Ehorzketa-eskubidearen emakida dela-eta onartu diren Baldintza 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lastRenderedPageBreak/>
              <w:t>Ekonomiko-Administratiboen Pleguetan onartutako baldintza guztiak onartzen ditu</w:t>
            </w:r>
            <w:r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da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la.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....................</w:t>
            </w:r>
            <w:r>
              <w:rPr>
                <w:rFonts w:ascii="GillSans Light" w:hAnsi="GillSans Light" w:cs="Arial"/>
                <w:sz w:val="22"/>
                <w:szCs w:val="22"/>
                <w:lang w:eastAsia="en-US"/>
              </w:rPr>
              <w:t>..,</w:t>
            </w: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2022ko .......</w:t>
            </w:r>
            <w:r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.........................aren …</w:t>
            </w: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(</w:t>
            </w:r>
            <w:r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a)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val="eu-ES" w:eastAsia="en-US"/>
              </w:rPr>
              <w:t>ESKATZAILEAREN SINADURA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rPr>
                <w:rFonts w:ascii="GillSans Light" w:hAnsi="GillSans Light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845CA8" w:rsidRPr="00295DC4" w:rsidRDefault="00845CA8" w:rsidP="003A1CDB">
            <w:pPr>
              <w:tabs>
                <w:tab w:val="left" w:pos="3225"/>
              </w:tabs>
              <w:jc w:val="center"/>
              <w:rPr>
                <w:rFonts w:ascii="GillSans Light" w:hAnsi="GillSans Light" w:cs="Arial"/>
                <w:b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b/>
                <w:sz w:val="22"/>
                <w:szCs w:val="22"/>
                <w:lang w:eastAsia="en-US"/>
              </w:rPr>
              <w:lastRenderedPageBreak/>
              <w:t>ANEXO</w:t>
            </w:r>
          </w:p>
          <w:p w:rsidR="00845CA8" w:rsidRPr="00295DC4" w:rsidRDefault="00845CA8" w:rsidP="003A1CDB">
            <w:pPr>
              <w:tabs>
                <w:tab w:val="left" w:pos="3225"/>
              </w:tabs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b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b/>
                <w:sz w:val="22"/>
                <w:szCs w:val="22"/>
                <w:lang w:eastAsia="en-US"/>
              </w:rPr>
              <w:t>MODELO DE SOLICITUD PARA PARTICIPAR EN EL PROCESO DE ADJUDICACION DE LA CONCESION DEL DERECHO FUNERARIO SOBRE PANTEON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D./Dª. .............................................................(solo se indicará el nombre de un solicitante, o en su caso de los dos cónyuges, justificando el hecho del matrimonio), con domicilio en ........................................................... de ……</w:t>
            </w:r>
            <w:proofErr w:type="gramStart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. (Código postal…………</w:t>
            </w:r>
            <w:proofErr w:type="gramStart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) de ................años de edad, con D.N.I. nº. .............................. nº de teléfono……………</w:t>
            </w:r>
            <w:proofErr w:type="gramStart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…….</w:t>
            </w:r>
            <w:proofErr w:type="gramEnd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.y correo electrónico ……………………………., hace constar: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1.- Que solicita su admisión en el proceso de adjudicación de la concesión del Derecho Funerario sobre el siguiente panteón del Cementerio de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Olaso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: 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>
              <w:rPr>
                <w:rFonts w:ascii="GillSans Light" w:hAnsi="GillSans Light" w:cs="Arial"/>
                <w:sz w:val="22"/>
                <w:szCs w:val="22"/>
                <w:lang w:eastAsia="en-US"/>
              </w:rPr>
              <w:t>Panteón Nº…</w:t>
            </w:r>
            <w:proofErr w:type="gramStart"/>
            <w:r>
              <w:rPr>
                <w:rFonts w:ascii="GillSans Light" w:hAnsi="GillSans Light" w:cs="Arial"/>
                <w:sz w:val="22"/>
                <w:szCs w:val="22"/>
                <w:lang w:eastAsia="en-US"/>
              </w:rPr>
              <w:t>…</w:t>
            </w: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(</w:t>
            </w:r>
            <w:proofErr w:type="gramEnd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Señalar la opción que se desee).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b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2.- Que</w:t>
            </w:r>
            <w:r w:rsidR="00E537EF">
              <w:rPr>
                <w:rFonts w:ascii="GillSans Light" w:hAnsi="GillSans Light" w:cs="Arial"/>
                <w:sz w:val="22"/>
                <w:szCs w:val="22"/>
                <w:lang w:eastAsia="en-US"/>
              </w:rPr>
              <w:t>,</w:t>
            </w: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en caso de no resultar adjudicataria de la concesión del Panteón antes escogido, solicita su admisión en el proceso de adjudicación de la concesión del derecho funerario de los sig</w:t>
            </w:r>
            <w:bookmarkStart w:id="0" w:name="_GoBack"/>
            <w:bookmarkEnd w:id="0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uientes Panteones del Cementerio de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Olaso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y en el siguiente orden de preferencia: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1º.- Panteón Nº. ……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2º.- Panteón Nº. ……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3º.- Panteón Nº. ……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4º.- Panteón Nº. ……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5º.- Panteón Nº. ……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 6º.- Panteón Nº. ……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3.- Que no se halla incurso en ninguna de las prohibiciones de contratar enumeradas en el </w:t>
            </w:r>
            <w:r w:rsidRPr="00295DC4">
              <w:rPr>
                <w:rFonts w:ascii="GillSans Light" w:hAnsi="GillSans Light" w:cs="Arial"/>
                <w:bCs/>
                <w:sz w:val="22"/>
                <w:szCs w:val="22"/>
                <w:lang w:eastAsia="en-US"/>
              </w:rPr>
              <w:t>artículo 71 de la Ley 9/2017</w:t>
            </w:r>
            <w:r w:rsidRPr="00295DC4">
              <w:rPr>
                <w:rFonts w:ascii="GillSans Light" w:hAnsi="GillSans Ligh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de Contratos del Sector Público.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4.- Que está al corriente del pago de tributos y sanciones con el Ayuntamiento de Elgoibar, así como del resto de las obligaciones tributarias con Hacienda Foral de Gipuzkoa y de seguridad social.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5.- Adjunta documento acreditativo de haber prestado una garantía provisional de 300 euros.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6.- Acepta plenamente las condiciones establecidas en los Pliegos de Cláusulas Económico Administrativas </w:t>
            </w: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lastRenderedPageBreak/>
              <w:t xml:space="preserve">aprobadas para la concesión del Derecho Funerario sobre Panteones del cementerio de </w:t>
            </w:r>
            <w:proofErr w:type="spellStart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Olaso</w:t>
            </w:r>
            <w:proofErr w:type="spellEnd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.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.................... a</w:t>
            </w:r>
            <w:proofErr w:type="gramStart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 xml:space="preserve"> ....</w:t>
            </w:r>
            <w:proofErr w:type="gramEnd"/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de ....................... de 2022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  <w:r w:rsidRPr="00295DC4">
              <w:rPr>
                <w:rFonts w:ascii="GillSans Light" w:hAnsi="GillSans Light" w:cs="Arial"/>
                <w:sz w:val="22"/>
                <w:szCs w:val="22"/>
                <w:lang w:eastAsia="en-US"/>
              </w:rPr>
              <w:t>FIRMA DE LA PERSONA SOLICITANTE,</w:t>
            </w:r>
          </w:p>
          <w:p w:rsidR="00845CA8" w:rsidRPr="00295DC4" w:rsidRDefault="00845CA8" w:rsidP="003A1CDB">
            <w:pPr>
              <w:tabs>
                <w:tab w:val="left" w:pos="3225"/>
              </w:tabs>
              <w:jc w:val="both"/>
              <w:rPr>
                <w:rFonts w:ascii="GillSans Light" w:hAnsi="GillSans Light" w:cs="Arial"/>
                <w:sz w:val="22"/>
                <w:szCs w:val="22"/>
                <w:lang w:eastAsia="en-US"/>
              </w:rPr>
            </w:pPr>
          </w:p>
          <w:p w:rsidR="00845CA8" w:rsidRPr="00295DC4" w:rsidRDefault="00845CA8" w:rsidP="003A1CDB">
            <w:pPr>
              <w:tabs>
                <w:tab w:val="left" w:pos="3225"/>
              </w:tabs>
              <w:rPr>
                <w:rFonts w:ascii="GillSans Light" w:hAnsi="GillSans Light" w:cs="Arial"/>
                <w:sz w:val="22"/>
                <w:szCs w:val="22"/>
                <w:lang w:val="en-US" w:eastAsia="en-US"/>
              </w:rPr>
            </w:pPr>
          </w:p>
        </w:tc>
      </w:tr>
    </w:tbl>
    <w:p w:rsidR="00E537EF" w:rsidRDefault="00E537EF"/>
    <w:p w:rsidR="00E537EF" w:rsidRPr="00E537EF" w:rsidRDefault="00E537EF" w:rsidP="00E537EF"/>
    <w:p w:rsidR="00E537EF" w:rsidRPr="00E537EF" w:rsidRDefault="00E537EF" w:rsidP="00E537EF"/>
    <w:p w:rsidR="00E537EF" w:rsidRPr="00E537EF" w:rsidRDefault="00E537EF" w:rsidP="00E537EF"/>
    <w:p w:rsidR="00E537EF" w:rsidRPr="00E537EF" w:rsidRDefault="00E537EF" w:rsidP="00E537EF"/>
    <w:p w:rsidR="00E537EF" w:rsidRPr="00E537EF" w:rsidRDefault="00E537EF" w:rsidP="00E537EF"/>
    <w:p w:rsidR="00E537EF" w:rsidRPr="00E537EF" w:rsidRDefault="00E537EF" w:rsidP="00E537EF"/>
    <w:p w:rsidR="00E537EF" w:rsidRDefault="00E537EF" w:rsidP="00E537EF"/>
    <w:p w:rsidR="00E537EF" w:rsidRDefault="00E537EF" w:rsidP="00E537EF"/>
    <w:p w:rsidR="00997A73" w:rsidRPr="00E537EF" w:rsidRDefault="00E537EF" w:rsidP="00E537EF">
      <w:pPr>
        <w:tabs>
          <w:tab w:val="left" w:pos="2715"/>
        </w:tabs>
      </w:pPr>
      <w:r>
        <w:tab/>
      </w:r>
    </w:p>
    <w:sectPr w:rsidR="00997A73" w:rsidRPr="00E537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EF" w:rsidRDefault="00E537EF" w:rsidP="00E537EF">
      <w:r>
        <w:separator/>
      </w:r>
    </w:p>
  </w:endnote>
  <w:endnote w:type="continuationSeparator" w:id="0">
    <w:p w:rsidR="00E537EF" w:rsidRDefault="00E537EF" w:rsidP="00E5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Sans Light">
    <w:altName w:val="Leelawadee UI Semiligh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EF" w:rsidRDefault="00E537EF" w:rsidP="00E537EF">
      <w:r>
        <w:separator/>
      </w:r>
    </w:p>
  </w:footnote>
  <w:footnote w:type="continuationSeparator" w:id="0">
    <w:p w:rsidR="00E537EF" w:rsidRDefault="00E537EF" w:rsidP="00E5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EF" w:rsidRDefault="00E537EF">
    <w:pPr>
      <w:pStyle w:val="Goiburua"/>
    </w:pPr>
    <w:r>
      <w:rPr>
        <w:rFonts w:ascii="GillSans Light" w:hAnsi="GillSans Light" w:cs="Arial"/>
        <w:noProof/>
        <w:sz w:val="18"/>
        <w:szCs w:val="18"/>
        <w:lang w:val="eu-ES" w:eastAsia="eu-ES"/>
      </w:rPr>
      <w:drawing>
        <wp:inline distT="0" distB="0" distL="0" distR="0" wp14:anchorId="4E602939" wp14:editId="5A1A3CBB">
          <wp:extent cx="647700" cy="1076325"/>
          <wp:effectExtent l="0" t="0" r="0" b="0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A8"/>
    <w:rsid w:val="00845CA8"/>
    <w:rsid w:val="00997A73"/>
    <w:rsid w:val="00E5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0A7C"/>
  <w15:chartTrackingRefBased/>
  <w15:docId w15:val="{D71F023F-330C-4FCA-8ED2-CA107FFB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99"/>
    <w:qFormat/>
    <w:rsid w:val="00845CA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E537EF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537EF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Orri-oina">
    <w:name w:val="footer"/>
    <w:basedOn w:val="Normala"/>
    <w:link w:val="Orri-oinaKar"/>
    <w:uiPriority w:val="99"/>
    <w:unhideWhenUsed/>
    <w:rsid w:val="00E537EF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537EF"/>
    <w:rPr>
      <w:rFonts w:ascii="Bookman Old Style" w:eastAsia="Times New Roman" w:hAnsi="Bookman Old Style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Ane</cp:lastModifiedBy>
  <cp:revision>2</cp:revision>
  <dcterms:created xsi:type="dcterms:W3CDTF">2022-09-29T08:23:00Z</dcterms:created>
  <dcterms:modified xsi:type="dcterms:W3CDTF">2022-09-29T08:25:00Z</dcterms:modified>
</cp:coreProperties>
</file>